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Taris HQ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(Secondary Headquarters for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“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Group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”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Activities)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(Outer Rim - Ojoster Sector - Taris System - Planet Taris N7)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Type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 Fortified Urban Building (Modified Warehouse)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Layout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Three levels with one underground. </w:t>
      </w:r>
    </w:p>
    <w:p>
      <w:pPr>
        <w:pStyle w:val="Body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Location</w:t>
      </w:r>
      <w:r>
        <w:rPr>
          <w:b w:val="0"/>
          <w:bCs w:val="0"/>
          <w:sz w:val="20"/>
          <w:szCs w:val="20"/>
          <w:rtl w:val="0"/>
          <w:lang w:val="en-US"/>
        </w:rPr>
        <w:t xml:space="preserve">:  Outer Edge of Prima Hyadum. 3rd largest urban area on planet </w:t>
      </w:r>
    </w:p>
    <w:p>
      <w:pPr>
        <w:pStyle w:val="Body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Scale</w:t>
      </w:r>
      <w:r>
        <w:rPr>
          <w:b w:val="0"/>
          <w:bCs w:val="0"/>
          <w:sz w:val="20"/>
          <w:szCs w:val="20"/>
          <w:rtl w:val="0"/>
          <w:lang w:val="en-US"/>
        </w:rPr>
        <w:t xml:space="preserve">:  Walker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Crew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10, gunners: 10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Main Living Area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10 Private Quarters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Barracks 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50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Cargo Capacity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500 metric tons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Hangar 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 3 Starfighter scale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Consumables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6 months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Building Strength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4D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Shields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3D Starfighter scale,  3D back-up shields, envelopes the entire building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Sensors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Far-Orbit Range, 24 Satellites around planet, Dedicated Energy Receptors (DER)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detects abnormal energy use and fluctuations planet-wide, Hyperwave Signal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Interceptors (HSI) detects ships entering or exiting hyperspace and Life Form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Indicators (LFI) can track individuals planet-wide.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8 Light Repeating Blasters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(2nd level)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Model: BlasTech Light Repeating Blaster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Arc: Mounted on articulated support arms, two fire stations on each side of the building.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Crew: 1 each (8 total)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Skill: Blaster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Scale: Character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Range: 3-30 / 100 / 300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Ammo: 300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Damage: 5D+1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**Single or 6 round burst only, on constant fire mode (6 round burst) - once a hit is established, all following shots on nearby (1 meter) targets are one difficulty lower.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2 Ion Cannon Turrets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(Concealed on roof) 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Model: BlasTech Mounted Ion Cannon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Arc: Turret, takes 1 round to deploy turret.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Crew: 1 (or automated control)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Skill: Blaster Artillery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Scale: Speeder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Control:  2D (0D on automated control)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Body: 3D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Range: 3-50 / 120 / 300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Ammo: Unlimited (power generator) </w:t>
      </w:r>
    </w:p>
    <w:p>
      <w:pPr>
        <w:pStyle w:val="Body"/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Damage: 3D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